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A670BF">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solid" w:color="000000" w:fill="auto"/>
            <w:tcMar>
              <w:top w:w="80" w:type="dxa"/>
              <w:left w:w="80" w:type="dxa"/>
              <w:bottom w:w="80" w:type="dxa"/>
              <w:right w:w="80" w:type="dxa"/>
            </w:tcMar>
            <w:vAlign w:val="center"/>
          </w:tcPr>
          <w:p w:rsidR="00A670BF" w:rsidRDefault="00A670BF">
            <w:pPr>
              <w:pStyle w:val="Ningnestilodeprrafo"/>
              <w:tabs>
                <w:tab w:val="left" w:pos="4760"/>
              </w:tabs>
              <w:suppressAutoHyphens/>
              <w:jc w:val="center"/>
              <w:rPr>
                <w:rFonts w:ascii="HelveticaNeueLTStd-Roman" w:hAnsi="HelveticaNeueLTStd-Roman" w:cs="HelveticaNeueLTStd-Roman"/>
                <w:sz w:val="26"/>
                <w:szCs w:val="26"/>
              </w:rPr>
            </w:pPr>
            <w:r>
              <w:rPr>
                <w:rFonts w:ascii="HelveticaNeueLTStd-Roman" w:hAnsi="HelveticaNeueLTStd-Roman" w:cs="HelveticaNeueLTStd-Roman"/>
                <w:sz w:val="26"/>
                <w:szCs w:val="26"/>
              </w:rPr>
              <w:t>Asesoría jurídica</w:t>
            </w:r>
          </w:p>
          <w:p w:rsidR="00A670BF" w:rsidRDefault="00A670BF">
            <w:pPr>
              <w:pStyle w:val="Ningnestilodeprrafo"/>
              <w:tabs>
                <w:tab w:val="left" w:pos="4760"/>
              </w:tabs>
              <w:suppressAutoHyphens/>
              <w:jc w:val="center"/>
              <w:rPr>
                <w:rFonts w:ascii="HelveticaNeueLTStd-Roman" w:hAnsi="HelveticaNeueLTStd-Roman" w:cs="HelveticaNeueLTStd-Roman"/>
                <w:sz w:val="26"/>
                <w:szCs w:val="26"/>
              </w:rPr>
            </w:pPr>
            <w:r>
              <w:rPr>
                <w:rFonts w:ascii="HelveticaNeueLTStd-Roman" w:hAnsi="HelveticaNeueLTStd-Roman" w:cs="HelveticaNeueLTStd-Roman"/>
                <w:sz w:val="26"/>
                <w:szCs w:val="26"/>
              </w:rPr>
              <w:t>Legítimos Acreedores, S.A.</w:t>
            </w:r>
          </w:p>
          <w:p w:rsidR="00A670BF" w:rsidRDefault="00A670BF">
            <w:pPr>
              <w:pStyle w:val="Ningnestilodeprrafo"/>
              <w:tabs>
                <w:tab w:val="left" w:pos="4760"/>
              </w:tabs>
              <w:suppressAutoHyphens/>
              <w:jc w:val="center"/>
              <w:rPr>
                <w:rFonts w:ascii="HelveticaNeueLTStd-Roman" w:hAnsi="HelveticaNeueLTStd-Roman" w:cs="HelveticaNeueLTStd-Roman"/>
                <w:sz w:val="26"/>
                <w:szCs w:val="26"/>
              </w:rPr>
            </w:pPr>
            <w:r>
              <w:rPr>
                <w:rFonts w:ascii="HelveticaNeueLTStd-Roman" w:hAnsi="HelveticaNeueLTStd-Roman" w:cs="HelveticaNeueLTStd-Roman"/>
                <w:sz w:val="26"/>
                <w:szCs w:val="26"/>
              </w:rPr>
              <w:t>Dirección</w:t>
            </w:r>
          </w:p>
          <w:p w:rsidR="00A670BF" w:rsidRDefault="00A670BF">
            <w:pPr>
              <w:pStyle w:val="Ningnestilodeprrafo"/>
              <w:tabs>
                <w:tab w:val="left" w:pos="4760"/>
              </w:tabs>
              <w:suppressAutoHyphens/>
              <w:jc w:val="center"/>
            </w:pPr>
            <w:r>
              <w:rPr>
                <w:rFonts w:ascii="HelveticaNeueLTStd-Roman" w:hAnsi="HelveticaNeueLTStd-Roman" w:cs="HelveticaNeueLTStd-Roman"/>
                <w:sz w:val="26"/>
                <w:szCs w:val="26"/>
              </w:rPr>
              <w:t>Teléfono</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A670BF" w:rsidRDefault="00A670BF">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A670BF" w:rsidRDefault="00A670BF">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Kepaquerita, SL</w:t>
            </w:r>
          </w:p>
          <w:p w:rsidR="00A670BF" w:rsidRDefault="00A670BF">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 Conde de la Moraeterna, 13</w:t>
            </w:r>
          </w:p>
          <w:p w:rsidR="00A670BF" w:rsidRDefault="00A670BF">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A670BF" w:rsidRDefault="00A670BF">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atención del Sr. Sinblanca</w:t>
            </w:r>
          </w:p>
          <w:p w:rsidR="00A670BF" w:rsidRDefault="00A670BF">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 legal de Kepaquerita, SL</w:t>
            </w:r>
          </w:p>
          <w:p w:rsidR="00A670BF" w:rsidRDefault="00A670BF">
            <w:pPr>
              <w:pStyle w:val="Ningnestilodeprrafo"/>
              <w:suppressAutoHyphens/>
              <w:ind w:left="1701"/>
              <w:jc w:val="both"/>
            </w:pPr>
          </w:p>
        </w:tc>
      </w:tr>
    </w:tbl>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sz w:val="22"/>
          <w:szCs w:val="22"/>
        </w:rPr>
      </w:pPr>
    </w:p>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sz w:val="22"/>
          <w:szCs w:val="22"/>
        </w:rPr>
      </w:pPr>
    </w:p>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Muy Sres. nuestros:</w:t>
      </w:r>
    </w:p>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Mediante este burofax les notificamos que nuestro director de administración nos ha encomendado la gestión recuperatoria de la deuda contraída por ustedes con nuestra sociedad, dimanante del impago de una factura y que asciende a fecha de hoy a un importe de 12.387,50 euros.</w:t>
      </w:r>
    </w:p>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Con miras a evitar una demanda judicial, les proponemos liquidar dicha deuda por la vía amistosa. Por consiguiente, deben efectuar el pago de su totalidad en un plazo máximo de cuatro días a partir de la recepción de este requerimiento de pago mediante transferencia a nuestra cuenta IBAN ES45 3691 2587 2013 7169 2412, haciendo constar su razón social y NIF.</w:t>
      </w:r>
    </w:p>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Una vez efectuado el pago, es necesario que nos remitan por telefax el justificante del mismo al fax n.º 916899997 para aplicar el cobro y paralizar las acciones legales.</w:t>
      </w:r>
    </w:p>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En caso de no recibir la transferencia dentro del plazo indicado, nos veremos obligados a iniciar las acciones pertinentes en defensa de nuestro derecho de crédito, interponiendo una demanda judicial en su contra.</w:t>
      </w:r>
    </w:p>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rPr>
      </w:pPr>
      <w:r>
        <w:rPr>
          <w:rFonts w:ascii="HelveticaNeueLTStd-Roman" w:hAnsi="HelveticaNeueLTStd-Roman" w:cs="HelveticaNeueLTStd-Roman"/>
        </w:rPr>
        <w:t>Atentamente,</w:t>
      </w:r>
    </w:p>
    <w:p w:rsidR="00A670BF" w:rsidRDefault="00A670BF" w:rsidP="00A670BF">
      <w:pPr>
        <w:pStyle w:val="Ningnestilodeprrafo"/>
        <w:tabs>
          <w:tab w:val="left" w:pos="4760"/>
        </w:tabs>
        <w:suppressAutoHyphens/>
        <w:spacing w:after="140"/>
        <w:jc w:val="both"/>
        <w:rPr>
          <w:rFonts w:ascii="HelveticaNeueLTStd-Roman" w:hAnsi="HelveticaNeueLTStd-Roman" w:cs="HelveticaNeueLTStd-Roman"/>
        </w:rPr>
      </w:pPr>
    </w:p>
    <w:p w:rsidR="00A670BF" w:rsidRDefault="00A670BF" w:rsidP="00A670BF">
      <w:pPr>
        <w:pStyle w:val="Ningnestilodeprrafo"/>
        <w:tabs>
          <w:tab w:val="left" w:pos="4380"/>
          <w:tab w:val="left" w:pos="4760"/>
        </w:tabs>
        <w:suppressAutoHyphens/>
        <w:spacing w:after="140"/>
        <w:rPr>
          <w:rFonts w:ascii="HelveticaNeueLTStd-Roman" w:hAnsi="HelveticaNeueLTStd-Roman" w:cs="HelveticaNeueLTStd-Roman"/>
        </w:rPr>
      </w:pPr>
      <w:r>
        <w:rPr>
          <w:rFonts w:ascii="HelveticaNeueLTStd-Roman" w:hAnsi="HelveticaNeueLTStd-Roman" w:cs="HelveticaNeueLTStd-Roman"/>
        </w:rPr>
        <w:t>Asesoría jurídica de Legítimos Acreedores, S.A.</w:t>
      </w:r>
    </w:p>
    <w:p w:rsidR="00A670BF" w:rsidRDefault="00A670BF" w:rsidP="00A670BF">
      <w:pPr>
        <w:pStyle w:val="Ningnestilodeprrafo"/>
        <w:tabs>
          <w:tab w:val="left" w:pos="4380"/>
          <w:tab w:val="left" w:pos="4760"/>
        </w:tabs>
        <w:suppressAutoHyphens/>
        <w:spacing w:after="140"/>
        <w:rPr>
          <w:rFonts w:ascii="HelveticaNeueLTStd-Roman" w:hAnsi="HelveticaNeueLTStd-Roman" w:cs="HelveticaNeueLTStd-Roman"/>
        </w:rPr>
      </w:pPr>
    </w:p>
    <w:p w:rsidR="00A670BF" w:rsidRDefault="00A670BF" w:rsidP="00A670BF">
      <w:pPr>
        <w:pStyle w:val="Ningnestilodeprrafo"/>
        <w:tabs>
          <w:tab w:val="left" w:pos="4380"/>
          <w:tab w:val="left" w:pos="4760"/>
        </w:tabs>
        <w:suppressAutoHyphens/>
        <w:spacing w:after="140"/>
        <w:rPr>
          <w:rFonts w:ascii="HelveticaNeueLTStd-Roman" w:hAnsi="HelveticaNeueLTStd-Roman" w:cs="HelveticaNeueLTStd-Roman"/>
        </w:rPr>
      </w:pPr>
    </w:p>
    <w:p w:rsidR="00F33C68" w:rsidRDefault="00A670BF" w:rsidP="00A670BF">
      <w:r>
        <w:rPr>
          <w:rFonts w:ascii="HelveticaNeueLTStd-Roman" w:hAnsi="HelveticaNeueLTStd-Roman" w:cs="HelveticaNeueLTStd-Roman"/>
        </w:rPr>
        <w:tab/>
        <w:t xml:space="preserve">Firmado </w:t>
      </w:r>
      <w:r>
        <w:rPr>
          <w:rFonts w:ascii="HelveticaNeueLTStd-Roman" w:hAnsi="HelveticaNeueLTStd-Roman" w:cs="HelveticaNeueLTStd-Roman"/>
        </w:rPr>
        <w:br/>
      </w:r>
      <w:r>
        <w:rPr>
          <w:rFonts w:ascii="HelveticaNeueLTStd-Roman" w:hAnsi="HelveticaNeueLTStd-Roman" w:cs="HelveticaNeueLTStd-Roman"/>
        </w:rPr>
        <w:tab/>
        <w:t>Juan Letrado, Colegiado n.º 11.255 del ICAM</w:t>
      </w:r>
    </w:p>
    <w:sectPr w:rsidR="00F33C68" w:rsidSect="00F33C68">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670BF"/>
    <w:rsid w:val="00A670BF"/>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A670BF"/>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Company>Eximpre sl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2012-03-09T09:31:00Z</dcterms:created>
  <dcterms:modified xsi:type="dcterms:W3CDTF">2012-03-09T09:31:00Z</dcterms:modified>
</cp:coreProperties>
</file>