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shd w:val="solid" w:color="auto" w:fill="auto"/>
        <w:tblLayout w:type="fixed"/>
        <w:tblCellMar>
          <w:left w:w="0" w:type="dxa"/>
          <w:right w:w="0" w:type="dxa"/>
        </w:tblCellMar>
        <w:tblLook w:val="0000"/>
      </w:tblPr>
      <w:tblGrid>
        <w:gridCol w:w="2704"/>
        <w:gridCol w:w="6756"/>
      </w:tblGrid>
      <w:tr w:rsidR="00181A2E" w:rsidTr="00181A2E">
        <w:tblPrEx>
          <w:tblCellMar>
            <w:top w:w="0" w:type="dxa"/>
            <w:left w:w="0" w:type="dxa"/>
            <w:bottom w:w="0" w:type="dxa"/>
            <w:right w:w="0" w:type="dxa"/>
          </w:tblCellMar>
        </w:tblPrEx>
        <w:trPr>
          <w:trHeight w:val="2108"/>
        </w:trPr>
        <w:tc>
          <w:tcPr>
            <w:tcW w:w="2704" w:type="dxa"/>
            <w:tcBorders>
              <w:top w:val="single" w:sz="6" w:space="0" w:color="auto"/>
              <w:left w:val="single" w:sz="6" w:space="0" w:color="auto"/>
              <w:bottom w:val="single" w:sz="6" w:space="0" w:color="auto"/>
              <w:right w:val="single" w:sz="6" w:space="0" w:color="auto"/>
            </w:tcBorders>
            <w:shd w:val="clear" w:color="auto" w:fill="auto"/>
            <w:tcMar>
              <w:top w:w="80" w:type="dxa"/>
              <w:left w:w="80" w:type="dxa"/>
              <w:bottom w:w="80" w:type="dxa"/>
              <w:right w:w="80" w:type="dxa"/>
            </w:tcMar>
            <w:vAlign w:val="center"/>
          </w:tcPr>
          <w:p w:rsidR="00181A2E" w:rsidRDefault="00181A2E">
            <w:pPr>
              <w:pStyle w:val="Ningnestilodeprrafo"/>
              <w:tabs>
                <w:tab w:val="left" w:pos="4760"/>
              </w:tabs>
              <w:suppressAutoHyphens/>
              <w:jc w:val="center"/>
              <w:rPr>
                <w:rFonts w:ascii="HelveticaNeueLTStd-Roman" w:hAnsi="HelveticaNeueLTStd-Roman" w:cs="HelveticaNeueLTStd-Roman"/>
                <w:sz w:val="26"/>
                <w:szCs w:val="26"/>
                <w:u w:color="000000"/>
              </w:rPr>
            </w:pPr>
            <w:r>
              <w:rPr>
                <w:rFonts w:ascii="HelveticaNeueLTStd-Roman" w:hAnsi="HelveticaNeueLTStd-Roman" w:cs="HelveticaNeueLTStd-Roman"/>
                <w:sz w:val="26"/>
                <w:szCs w:val="26"/>
                <w:u w:color="000000"/>
              </w:rPr>
              <w:t>Membrete remitente</w:t>
            </w:r>
          </w:p>
          <w:p w:rsidR="00181A2E" w:rsidRDefault="00181A2E">
            <w:pPr>
              <w:pStyle w:val="Ningnestilodeprrafo"/>
              <w:tabs>
                <w:tab w:val="left" w:pos="4760"/>
              </w:tabs>
              <w:suppressAutoHyphens/>
              <w:jc w:val="center"/>
            </w:pPr>
          </w:p>
        </w:tc>
        <w:tc>
          <w:tcPr>
            <w:tcW w:w="6756" w:type="dxa"/>
            <w:tcBorders>
              <w:top w:val="single" w:sz="6" w:space="0" w:color="auto"/>
              <w:left w:val="single" w:sz="6" w:space="0" w:color="auto"/>
              <w:bottom w:val="single" w:sz="6" w:space="0" w:color="auto"/>
              <w:right w:val="single" w:sz="6" w:space="0" w:color="auto"/>
            </w:tcBorders>
            <w:shd w:val="clear" w:color="auto" w:fill="auto"/>
            <w:tcMar>
              <w:top w:w="80" w:type="dxa"/>
              <w:left w:w="80" w:type="dxa"/>
              <w:bottom w:w="80" w:type="dxa"/>
              <w:right w:w="80" w:type="dxa"/>
            </w:tcMar>
            <w:vAlign w:val="bottom"/>
          </w:tcPr>
          <w:p w:rsidR="00181A2E" w:rsidRDefault="00181A2E">
            <w:pPr>
              <w:pStyle w:val="Ningnestilodeprrafo"/>
              <w:tabs>
                <w:tab w:val="left" w:pos="4760"/>
              </w:tabs>
              <w:suppressAutoHyphens/>
              <w:ind w:left="1701"/>
              <w:jc w:val="both"/>
              <w:rPr>
                <w:rFonts w:ascii="HelveticaNeueLTStd-Roman" w:hAnsi="HelveticaNeueLTStd-Roman" w:cs="HelveticaNeueLTStd-Roman"/>
                <w:u w:val="thick" w:color="000000"/>
              </w:rPr>
            </w:pPr>
            <w:r>
              <w:rPr>
                <w:rFonts w:ascii="HelveticaNeueLTStd-Roman" w:hAnsi="HelveticaNeueLTStd-Roman" w:cs="HelveticaNeueLTStd-Roman"/>
                <w:u w:color="000000"/>
              </w:rPr>
              <w:t>Fecha</w:t>
            </w:r>
          </w:p>
          <w:p w:rsidR="00181A2E" w:rsidRDefault="00181A2E">
            <w:pPr>
              <w:pStyle w:val="Ningnestilodeprrafo"/>
              <w:tabs>
                <w:tab w:val="left" w:pos="4760"/>
              </w:tabs>
              <w:suppressAutoHyphens/>
              <w:ind w:left="1701"/>
              <w:jc w:val="both"/>
              <w:rPr>
                <w:rFonts w:ascii="HelveticaNeueLTStd-Roman" w:hAnsi="HelveticaNeueLTStd-Roman" w:cs="HelveticaNeueLTStd-Roman"/>
                <w:u w:color="000000"/>
              </w:rPr>
            </w:pPr>
            <w:r>
              <w:rPr>
                <w:rFonts w:ascii="HelveticaNeueLTStd-Roman" w:hAnsi="HelveticaNeueLTStd-Roman" w:cs="HelveticaNeueLTStd-Roman"/>
                <w:u w:color="000000"/>
              </w:rPr>
              <w:t>Reluctantes, S.L.</w:t>
            </w:r>
          </w:p>
          <w:p w:rsidR="00181A2E" w:rsidRDefault="00181A2E">
            <w:pPr>
              <w:pStyle w:val="Ningnestilodeprrafo"/>
              <w:tabs>
                <w:tab w:val="left" w:pos="4760"/>
              </w:tabs>
              <w:suppressAutoHyphens/>
              <w:ind w:left="1701"/>
              <w:jc w:val="both"/>
              <w:rPr>
                <w:rFonts w:ascii="HelveticaNeueLTStd-Roman" w:hAnsi="HelveticaNeueLTStd-Roman" w:cs="HelveticaNeueLTStd-Roman"/>
                <w:u w:color="000000"/>
              </w:rPr>
            </w:pPr>
            <w:r>
              <w:rPr>
                <w:rFonts w:ascii="HelveticaNeueLTStd-Roman" w:hAnsi="HelveticaNeueLTStd-Roman" w:cs="HelveticaNeueLTStd-Roman"/>
                <w:u w:color="000000"/>
              </w:rPr>
              <w:t>C/ Reticencia, 43</w:t>
            </w:r>
          </w:p>
          <w:p w:rsidR="00181A2E" w:rsidRDefault="00181A2E">
            <w:pPr>
              <w:pStyle w:val="Ningnestilodeprrafo"/>
              <w:tabs>
                <w:tab w:val="left" w:pos="4760"/>
              </w:tabs>
              <w:suppressAutoHyphens/>
              <w:ind w:left="1701"/>
              <w:jc w:val="both"/>
              <w:rPr>
                <w:rFonts w:ascii="HelveticaNeueLTStd-Roman" w:hAnsi="HelveticaNeueLTStd-Roman" w:cs="HelveticaNeueLTStd-Roman"/>
                <w:u w:color="000000"/>
              </w:rPr>
            </w:pPr>
            <w:r>
              <w:rPr>
                <w:rFonts w:ascii="HelveticaNeueLTStd-Roman" w:hAnsi="HelveticaNeueLTStd-Roman" w:cs="HelveticaNeueLTStd-Roman"/>
                <w:u w:color="000000"/>
              </w:rPr>
              <w:t>28005 Madrid</w:t>
            </w:r>
          </w:p>
          <w:p w:rsidR="00181A2E" w:rsidRDefault="00181A2E">
            <w:pPr>
              <w:pStyle w:val="Ningnestilodeprrafo"/>
              <w:tabs>
                <w:tab w:val="left" w:pos="4760"/>
              </w:tabs>
              <w:suppressAutoHyphens/>
              <w:spacing w:before="170"/>
              <w:ind w:left="1701"/>
              <w:jc w:val="both"/>
              <w:rPr>
                <w:rFonts w:ascii="HelveticaNeueLTStd-Roman" w:hAnsi="HelveticaNeueLTStd-Roman" w:cs="HelveticaNeueLTStd-Roman"/>
                <w:u w:color="000000"/>
              </w:rPr>
            </w:pPr>
            <w:r>
              <w:rPr>
                <w:rFonts w:ascii="HelveticaNeueLTStd-Roman" w:hAnsi="HelveticaNeueLTStd-Roman" w:cs="HelveticaNeueLTStd-Roman"/>
                <w:u w:color="000000"/>
              </w:rPr>
              <w:t>A la atención del Sr. Renuente</w:t>
            </w:r>
          </w:p>
          <w:p w:rsidR="00181A2E" w:rsidRDefault="00181A2E">
            <w:pPr>
              <w:pStyle w:val="Ningnestilodeprrafo"/>
              <w:tabs>
                <w:tab w:val="left" w:pos="4760"/>
              </w:tabs>
              <w:suppressAutoHyphens/>
              <w:ind w:left="1701"/>
              <w:jc w:val="both"/>
              <w:rPr>
                <w:rFonts w:ascii="HelveticaNeueLTStd-Roman" w:hAnsi="HelveticaNeueLTStd-Roman" w:cs="HelveticaNeueLTStd-Roman"/>
                <w:u w:color="000000"/>
              </w:rPr>
            </w:pPr>
            <w:r>
              <w:rPr>
                <w:rFonts w:ascii="HelveticaNeueLTStd-Roman" w:hAnsi="HelveticaNeueLTStd-Roman" w:cs="HelveticaNeueLTStd-Roman"/>
                <w:u w:color="000000"/>
              </w:rPr>
              <w:t>Administrador legal de Reluctantes, S.L.</w:t>
            </w:r>
          </w:p>
          <w:p w:rsidR="00181A2E" w:rsidRDefault="00181A2E">
            <w:pPr>
              <w:pStyle w:val="Ningnestilodeprrafo"/>
              <w:tabs>
                <w:tab w:val="left" w:pos="4760"/>
              </w:tabs>
              <w:suppressAutoHyphens/>
              <w:ind w:left="1701"/>
              <w:jc w:val="both"/>
            </w:pPr>
          </w:p>
        </w:tc>
      </w:tr>
    </w:tbl>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sz w:val="22"/>
          <w:szCs w:val="22"/>
        </w:rPr>
      </w:pP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sz w:val="22"/>
          <w:szCs w:val="22"/>
        </w:rPr>
      </w:pP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 xml:space="preserve">Estimados </w:t>
      </w:r>
      <w:proofErr w:type="spellStart"/>
      <w:r>
        <w:rPr>
          <w:rFonts w:ascii="HelveticaNeueLTStd-Roman" w:hAnsi="HelveticaNeueLTStd-Roman" w:cs="HelveticaNeueLTStd-Roman"/>
          <w:u w:color="000000"/>
        </w:rPr>
        <w:t>Sres</w:t>
      </w:r>
      <w:proofErr w:type="spellEnd"/>
      <w:r>
        <w:rPr>
          <w:rFonts w:ascii="HelveticaNeueLTStd-Roman" w:hAnsi="HelveticaNeueLTStd-Roman" w:cs="HelveticaNeueLTStd-Roman"/>
          <w:u w:color="000000"/>
        </w:rPr>
        <w:t>:</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Como ya sabrán, la Ley 15/2010, de 5 de julio, de modificación de la Ley 3/2004, de 29 de diciembre, por la que se establecen medidas de lucha contra la morosidad en las operaciones comerciales, dicta que el plazo de pago entre empresas será de sesenta días a partir de enero de 2013. Dicho plazo debe ser contado a partir de la fecha de la entrega de las mercancías o prestación de los servicios</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Sin embargo, durante una fase de transición prevista por la Ley los plazos de pago serán de 85 días hasta el 31/12/2011 y de 75 días desde el 01/01/2012 hasta el 31/12/2012.</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Igualmente la actual legislación prohíbe la existencia de acuerdos contractuales entre las partes que supongan una ampliación de los aplazamientos de pago establecidos por la normativa legal.</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Asimismo le comunicamos que el cumplimiento de los plazos de pago legales está controlado y comprobado a través de la información que a este respecto deberá contener la Memoria de sus Cuentas Anuales a partir del ejercicio 2010, conforme a lo establecido por la Disposición Adicional 3.ª de la ley 15/2010 y la Resolución de 29 de diciembre de 2010, del Instituto de Contabilidad y Auditoría de Cuentas.</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Por consiguiente, le informamos de que, en aplicación de la actual normativa, los vencimientos de pago de las facturas que les emitamos hasta el 31 de diciembre de 2011 tendrán un plazo de pago de 85 días contados desde la fecha que conste en el albarán de entrega de la mercancía. Además, los vencimientos de las facturas que les emitamos a partir del 1 de enero de 2012 y hasta el 31 de diciembre de este año tendrán un plazo de pago de 75 días.</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Una vez finalizado el período de adaptación, en enero de 2013, los vencimientos de las facturas tendrán un plazo de pago de sesenta días.</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Para cualquier aclaración al respecto no duden en contactar con nosotros.</w:t>
      </w:r>
    </w:p>
    <w:p w:rsidR="00181A2E" w:rsidRDefault="00181A2E" w:rsidP="00181A2E">
      <w:pPr>
        <w:pStyle w:val="Ningnestilodeprrafo"/>
        <w:tabs>
          <w:tab w:val="left" w:pos="4760"/>
        </w:tabs>
        <w:suppressAutoHyphens/>
        <w:spacing w:after="140"/>
        <w:jc w:val="both"/>
        <w:rPr>
          <w:rFonts w:ascii="HelveticaNeueLTStd-Roman" w:hAnsi="HelveticaNeueLTStd-Roman" w:cs="HelveticaNeueLTStd-Roman"/>
          <w:u w:color="000000"/>
        </w:rPr>
      </w:pPr>
      <w:r>
        <w:rPr>
          <w:rFonts w:ascii="HelveticaNeueLTStd-Roman" w:hAnsi="HelveticaNeueLTStd-Roman" w:cs="HelveticaNeueLTStd-Roman"/>
          <w:u w:color="000000"/>
        </w:rPr>
        <w:t>Reciban un cordial saludo.</w:t>
      </w:r>
    </w:p>
    <w:p w:rsidR="00181A2E" w:rsidRDefault="00181A2E" w:rsidP="00181A2E">
      <w:pPr>
        <w:pStyle w:val="Ningnestilodeprrafo"/>
        <w:tabs>
          <w:tab w:val="left" w:pos="4760"/>
        </w:tabs>
        <w:suppressAutoHyphens/>
        <w:spacing w:after="140"/>
        <w:jc w:val="both"/>
        <w:rPr>
          <w:rFonts w:ascii="HelveticaNeueLTStd-BdIt" w:hAnsi="HelveticaNeueLTStd-BdIt" w:cs="HelveticaNeueLTStd-BdIt"/>
          <w:b/>
          <w:bCs/>
          <w:i/>
          <w:iCs/>
          <w:u w:color="000000"/>
        </w:rPr>
      </w:pPr>
    </w:p>
    <w:p w:rsidR="00181A2E" w:rsidRDefault="00181A2E" w:rsidP="00181A2E">
      <w:pPr>
        <w:pStyle w:val="Ningnestilodeprrafo"/>
        <w:tabs>
          <w:tab w:val="left" w:pos="4760"/>
        </w:tabs>
        <w:suppressAutoHyphens/>
        <w:spacing w:after="140"/>
        <w:jc w:val="both"/>
        <w:rPr>
          <w:rFonts w:ascii="HelveticaNeueLTStd-BdIt" w:hAnsi="HelveticaNeueLTStd-BdIt" w:cs="HelveticaNeueLTStd-BdIt"/>
          <w:b/>
          <w:bCs/>
          <w:i/>
          <w:iCs/>
          <w:u w:color="000000"/>
        </w:rPr>
      </w:pPr>
    </w:p>
    <w:p w:rsidR="00181A2E" w:rsidRDefault="00181A2E" w:rsidP="00181A2E">
      <w:pPr>
        <w:pStyle w:val="Ningnestilodeprrafo"/>
        <w:tabs>
          <w:tab w:val="left" w:pos="4760"/>
        </w:tabs>
        <w:suppressAutoHyphens/>
        <w:spacing w:after="140"/>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Proveedor, SL</w:t>
      </w:r>
    </w:p>
    <w:p w:rsidR="00181A2E" w:rsidRDefault="00181A2E" w:rsidP="00181A2E">
      <w:pPr>
        <w:pStyle w:val="Ningnestilodeprrafo"/>
        <w:tabs>
          <w:tab w:val="left" w:pos="4760"/>
        </w:tabs>
        <w:suppressAutoHyphens/>
        <w:spacing w:after="140"/>
        <w:jc w:val="both"/>
        <w:rPr>
          <w:rFonts w:ascii="HelveticaNeueLTStd-BdIt" w:hAnsi="HelveticaNeueLTStd-BdIt" w:cs="HelveticaNeueLTStd-BdIt"/>
          <w:b/>
          <w:bCs/>
          <w:i/>
          <w:iCs/>
          <w:u w:color="000000"/>
        </w:rPr>
      </w:pPr>
    </w:p>
    <w:p w:rsidR="00181A2E" w:rsidRDefault="00181A2E" w:rsidP="00181A2E">
      <w:pPr>
        <w:pStyle w:val="Ningnestilodeprrafo"/>
        <w:tabs>
          <w:tab w:val="left" w:pos="4760"/>
        </w:tabs>
        <w:suppressAutoHyphens/>
        <w:spacing w:after="140"/>
        <w:jc w:val="both"/>
        <w:rPr>
          <w:rFonts w:ascii="HelveticaNeueLTStd-BdIt" w:hAnsi="HelveticaNeueLTStd-BdIt" w:cs="HelveticaNeueLTStd-BdIt"/>
          <w:b/>
          <w:bCs/>
          <w:i/>
          <w:iCs/>
          <w:u w:color="000000"/>
        </w:rPr>
      </w:pPr>
    </w:p>
    <w:p w:rsidR="00181A2E" w:rsidRDefault="00181A2E" w:rsidP="00181A2E">
      <w:pPr>
        <w:pStyle w:val="Ningnestilodeprrafo"/>
        <w:tabs>
          <w:tab w:val="left" w:pos="4760"/>
        </w:tabs>
        <w:suppressAutoHyphens/>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José Mercader</w:t>
      </w:r>
    </w:p>
    <w:p w:rsidR="00181A2E" w:rsidRDefault="00181A2E" w:rsidP="00181A2E">
      <w:pPr>
        <w:pStyle w:val="Ningnestilodeprrafo"/>
        <w:tabs>
          <w:tab w:val="left" w:pos="4760"/>
        </w:tabs>
        <w:suppressAutoHyphens/>
        <w:spacing w:after="140"/>
        <w:jc w:val="both"/>
        <w:rPr>
          <w:rFonts w:ascii="HelveticaNeueLTStd-BdIt" w:hAnsi="HelveticaNeueLTStd-BdIt" w:cs="HelveticaNeueLTStd-BdIt"/>
          <w:b/>
          <w:bCs/>
          <w:i/>
          <w:iCs/>
          <w:u w:color="000000"/>
        </w:rPr>
      </w:pPr>
      <w:r>
        <w:rPr>
          <w:rFonts w:ascii="HelveticaNeueLTStd-BdIt" w:hAnsi="HelveticaNeueLTStd-BdIt" w:cs="HelveticaNeueLTStd-BdIt"/>
          <w:b/>
          <w:bCs/>
          <w:i/>
          <w:iCs/>
          <w:u w:color="000000"/>
        </w:rPr>
        <w:tab/>
        <w:t>Director comercial</w:t>
      </w:r>
    </w:p>
    <w:p w:rsidR="00F33C68" w:rsidRDefault="00181A2E"/>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81A2E"/>
    <w:rsid w:val="00181A2E"/>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181A2E"/>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300</Words>
  <Characters>1712</Characters>
  <Application>Microsoft Word 12.0.0</Application>
  <DocSecurity>0</DocSecurity>
  <Lines>14</Lines>
  <Paragraphs>3</Paragraphs>
  <ScaleCrop>false</ScaleCrop>
  <Company>Eximpre sl</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2012-03-09T09:21:00Z</dcterms:created>
  <dcterms:modified xsi:type="dcterms:W3CDTF">2012-03-09T09:23:00Z</dcterms:modified>
</cp:coreProperties>
</file>